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B" w:rsidRDefault="00175792" w:rsidP="0044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17 Ekim 2024</w:t>
      </w:r>
      <w:r w:rsidR="00AA5891">
        <w:rPr>
          <w:rFonts w:ascii="Times New Roman" w:hAnsi="Times New Roman" w:cs="Times New Roman"/>
          <w:b/>
          <w:sz w:val="24"/>
          <w:szCs w:val="24"/>
        </w:rPr>
        <w:t xml:space="preserve"> Tarihli</w:t>
      </w:r>
      <w:r w:rsidRPr="003A0EA9">
        <w:rPr>
          <w:rFonts w:ascii="Times New Roman" w:hAnsi="Times New Roman" w:cs="Times New Roman"/>
          <w:b/>
          <w:sz w:val="24"/>
          <w:szCs w:val="24"/>
        </w:rPr>
        <w:t xml:space="preserve"> Fakülte Kurur Kararı</w:t>
      </w:r>
    </w:p>
    <w:p w:rsidR="008B2A5C" w:rsidRPr="003A0EA9" w:rsidRDefault="008B2A5C" w:rsidP="0044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B1" w:rsidRDefault="005B35B1" w:rsidP="005B3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0EA9">
        <w:rPr>
          <w:rFonts w:ascii="Times New Roman" w:hAnsi="Times New Roman" w:cs="Times New Roman"/>
          <w:sz w:val="24"/>
          <w:szCs w:val="24"/>
        </w:rPr>
        <w:t>-Çocuk Cerrahi Anabilim Dalı Başkanlığı’nın 04.10.2024 tarihli Anabilim Dalı Akademik Kurul Kararı uyarınca, 2024-2025 Eğitim-Öğretim Yılı 4. sınıf ders programında yer alan derslerin anlatılmasıyla ilgili değişikliklerin aşağıda belirtilen şekilde ve pratik derslerin de tekrar düzenlenmesi uygun görüldü.</w:t>
      </w:r>
    </w:p>
    <w:p w:rsidR="005B35B1" w:rsidRPr="003A0EA9" w:rsidRDefault="005B35B1" w:rsidP="005B3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2717"/>
        <w:gridCol w:w="3266"/>
      </w:tblGrid>
      <w:tr w:rsidR="005B35B1" w:rsidRPr="003A0EA9" w:rsidTr="00263359">
        <w:trPr>
          <w:trHeight w:val="555"/>
        </w:trPr>
        <w:tc>
          <w:tcPr>
            <w:tcW w:w="3383" w:type="dxa"/>
            <w:shd w:val="clear" w:color="auto" w:fill="auto"/>
            <w:vAlign w:val="center"/>
          </w:tcPr>
          <w:p w:rsidR="005B35B1" w:rsidRPr="003A0EA9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DERSİN ADI</w:t>
            </w:r>
          </w:p>
        </w:tc>
        <w:tc>
          <w:tcPr>
            <w:tcW w:w="2717" w:type="dxa"/>
            <w:vAlign w:val="center"/>
          </w:tcPr>
          <w:p w:rsidR="005B35B1" w:rsidRPr="003A0EA9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5B35B1" w:rsidRPr="003A0EA9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 w:cs="Times New Roman"/>
                <w:b/>
                <w:sz w:val="24"/>
                <w:szCs w:val="24"/>
              </w:rPr>
              <w:t>DERSİ ANLATACAK YENİ ÖĞRETİM ÜYESİ</w:t>
            </w:r>
          </w:p>
        </w:tc>
      </w:tr>
      <w:tr w:rsidR="005B35B1" w:rsidRPr="003A0EA9" w:rsidTr="00263359">
        <w:trPr>
          <w:trHeight w:val="268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Çocuklarda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İnguinal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Genitoüriner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Bölge Cerrahi Anatomisi</w:t>
            </w:r>
          </w:p>
        </w:tc>
        <w:tc>
          <w:tcPr>
            <w:tcW w:w="2717" w:type="dxa"/>
            <w:vAlign w:val="center"/>
          </w:tcPr>
          <w:p w:rsidR="005B35B1" w:rsidRPr="00DF1E00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Çocuklarda Üst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Üriner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 Cerrahi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459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Çocuklarda Alt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Üriner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 Cerrahi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Çocuklarda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Genital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Bölge Cerrahi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  <w:vAlign w:val="center"/>
          </w:tcPr>
          <w:p w:rsidR="005B35B1" w:rsidRPr="00DF1E00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Prof.Dr.Hüseyin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İLHAN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Kasık Kanalı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Çocuklarda Akut </w:t>
            </w: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Skrotum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 Dr. Baran TOKAR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Yenidoğanlarda</w:t>
            </w:r>
            <w:proofErr w:type="spellEnd"/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Cerrahi GİS Hastalıkları</w:t>
            </w:r>
          </w:p>
        </w:tc>
        <w:tc>
          <w:tcPr>
            <w:tcW w:w="2717" w:type="dxa"/>
            <w:vAlign w:val="center"/>
          </w:tcPr>
          <w:p w:rsidR="005B35B1" w:rsidRPr="00DF1E00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Cerrahi Üst GİS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Cerrahi Alt GİS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Akut Karın Hastalıkları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394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Kist ve Kitleler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Dr.Pari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KHALİLOVA</w:t>
            </w:r>
          </w:p>
        </w:tc>
      </w:tr>
      <w:tr w:rsidR="005B35B1" w:rsidRPr="003A0EA9" w:rsidTr="00263359">
        <w:trPr>
          <w:trHeight w:val="249"/>
        </w:trPr>
        <w:tc>
          <w:tcPr>
            <w:tcW w:w="3383" w:type="dxa"/>
            <w:shd w:val="clear" w:color="auto" w:fill="auto"/>
            <w:vAlign w:val="center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Çocuklarda Solid Kitleler</w:t>
            </w:r>
          </w:p>
        </w:tc>
        <w:tc>
          <w:tcPr>
            <w:tcW w:w="2717" w:type="dxa"/>
          </w:tcPr>
          <w:p w:rsidR="005B35B1" w:rsidRPr="00DF1E00" w:rsidRDefault="005B35B1" w:rsidP="00263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Doç. Dr. M. </w:t>
            </w:r>
            <w:proofErr w:type="spell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Surhan</w:t>
            </w:r>
            <w:proofErr w:type="spell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ARDA</w:t>
            </w:r>
          </w:p>
        </w:tc>
        <w:tc>
          <w:tcPr>
            <w:tcW w:w="3266" w:type="dxa"/>
            <w:vAlign w:val="center"/>
          </w:tcPr>
          <w:p w:rsidR="005B35B1" w:rsidRPr="00DF1E00" w:rsidRDefault="005B35B1" w:rsidP="00263359">
            <w:pPr>
              <w:tabs>
                <w:tab w:val="left" w:pos="2127"/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>Prof.Dr.Hüseyin</w:t>
            </w:r>
            <w:proofErr w:type="spellEnd"/>
            <w:proofErr w:type="gramEnd"/>
            <w:r w:rsidRPr="00DF1E00">
              <w:rPr>
                <w:rFonts w:ascii="Times New Roman" w:hAnsi="Times New Roman" w:cs="Times New Roman"/>
                <w:sz w:val="20"/>
                <w:szCs w:val="20"/>
              </w:rPr>
              <w:t xml:space="preserve"> İLHAN</w:t>
            </w:r>
          </w:p>
        </w:tc>
      </w:tr>
    </w:tbl>
    <w:p w:rsidR="00175792" w:rsidRPr="003A0EA9" w:rsidRDefault="00175792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2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Sağlık Bakanlığı adına Fakültemiz Genel Cerrahi Anabilim Dalı’nda görev yapan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Ahmet Murat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ŞENDİL’e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ek süre verilmesi konusu, Akademik Anabilim Kurul Kararı göz önünde bulundurularak 03 Eylül 2022 tarihli Tıpta ve Diş Hekimliğinde Uzmanlık Eğitimi Yönetmeliğinin 11. maddesinin 4. fıkrası uyarınca 6 (altı) ay ek süre verilmesinin uygun görüldü.</w:t>
      </w:r>
    </w:p>
    <w:p w:rsidR="00175792" w:rsidRPr="003A0EA9" w:rsidRDefault="00175792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3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Aile Hekimliği Anabilim Dalı Başkanlığı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Özgür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KIRNAP’ın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175792" w:rsidRPr="003A0EA9" w:rsidRDefault="00175792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4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Kulak Burun Boğaz Hastalıkları Anabilim Dalı Başkanlığı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Hamit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İPEK’in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danışmanı ve tez konusu belirlendi.</w:t>
      </w:r>
    </w:p>
    <w:p w:rsidR="00175792" w:rsidRPr="003A0EA9" w:rsidRDefault="00175792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5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Aile Hekimliği Anabilim Dalı Başkanlığı’nın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Begüm SARITAŞ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KISALAR’ın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175792" w:rsidRPr="003A0EA9" w:rsidRDefault="00175792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6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Aile Hekimliği Anabilim Dalı Başkanlığı’nın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Ahmet Kağan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SÖZEN’in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175792" w:rsidRPr="003A0EA9" w:rsidRDefault="00763958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7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Halk Sağlığı Anabilim Dalı Başkanlığı’nın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Tuğçe ARSLAN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TORBA’nın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763958" w:rsidRPr="003A0EA9" w:rsidRDefault="00763958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8</w:t>
      </w:r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Tıbbi Mikrobiyoloji Anabilim Dalı Başkanlığı’nın </w:t>
      </w:r>
      <w:proofErr w:type="spellStart"/>
      <w:proofErr w:type="gramStart"/>
      <w:r w:rsidRPr="003A0EA9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3A0EA9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Mustafa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YILMAZ’ın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tez jürisi belirlendi.</w:t>
      </w:r>
    </w:p>
    <w:p w:rsidR="00763958" w:rsidRPr="003A0EA9" w:rsidRDefault="00763958" w:rsidP="005D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EA9">
        <w:rPr>
          <w:rFonts w:ascii="Times New Roman" w:hAnsi="Times New Roman" w:cs="Times New Roman"/>
          <w:b/>
          <w:sz w:val="24"/>
          <w:szCs w:val="24"/>
        </w:rPr>
        <w:t>0</w:t>
      </w:r>
      <w:r w:rsidR="005B35B1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A0EA9">
        <w:rPr>
          <w:rFonts w:ascii="Times New Roman" w:hAnsi="Times New Roman" w:cs="Times New Roman"/>
          <w:b/>
          <w:sz w:val="24"/>
          <w:szCs w:val="24"/>
        </w:rPr>
        <w:t>-</w:t>
      </w:r>
      <w:r w:rsidRPr="003A0EA9">
        <w:rPr>
          <w:rFonts w:ascii="Times New Roman" w:hAnsi="Times New Roman" w:cs="Times New Roman"/>
          <w:sz w:val="24"/>
          <w:szCs w:val="24"/>
        </w:rPr>
        <w:t xml:space="preserve">Tıbbi Patoloji Anabilim Dalı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Arş.Gör.Dr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. Özge </w:t>
      </w:r>
      <w:proofErr w:type="spellStart"/>
      <w:r w:rsidRPr="003A0EA9">
        <w:rPr>
          <w:rFonts w:ascii="Times New Roman" w:hAnsi="Times New Roman" w:cs="Times New Roman"/>
          <w:sz w:val="24"/>
          <w:szCs w:val="24"/>
        </w:rPr>
        <w:t>BÜLBÜL’ün</w:t>
      </w:r>
      <w:proofErr w:type="spellEnd"/>
      <w:r w:rsidRPr="003A0EA9">
        <w:rPr>
          <w:rFonts w:ascii="Times New Roman" w:hAnsi="Times New Roman" w:cs="Times New Roman"/>
          <w:sz w:val="24"/>
          <w:szCs w:val="24"/>
        </w:rPr>
        <w:t xml:space="preserve"> uzmanlık tezinin onaylanması uygun görüldü.</w:t>
      </w:r>
    </w:p>
    <w:p w:rsidR="00763958" w:rsidRPr="003A0EA9" w:rsidRDefault="00763958" w:rsidP="005D7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3958" w:rsidRPr="003A0EA9" w:rsidSect="008B2A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92"/>
    <w:rsid w:val="00175792"/>
    <w:rsid w:val="003A0EA9"/>
    <w:rsid w:val="00445E6B"/>
    <w:rsid w:val="005B35B1"/>
    <w:rsid w:val="005D7766"/>
    <w:rsid w:val="00763958"/>
    <w:rsid w:val="008B2A5C"/>
    <w:rsid w:val="009E2E91"/>
    <w:rsid w:val="00AA5891"/>
    <w:rsid w:val="00DF1E00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9BAC"/>
  <w15:chartTrackingRefBased/>
  <w15:docId w15:val="{864636E9-40E3-42D4-A78C-F436A8F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9</cp:revision>
  <dcterms:created xsi:type="dcterms:W3CDTF">2024-11-01T10:29:00Z</dcterms:created>
  <dcterms:modified xsi:type="dcterms:W3CDTF">2024-11-27T10:18:00Z</dcterms:modified>
</cp:coreProperties>
</file>